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/>
        <w:ind w:right="-1050" w:rightChars="-500"/>
        <w:jc w:val="both"/>
        <w:rPr>
          <w:rFonts w:eastAsia="方正小标宋_GBK"/>
          <w:color w:val="FF0000"/>
          <w:spacing w:val="-2"/>
          <w:w w:val="200"/>
          <w:kern w:val="11"/>
          <w:sz w:val="144"/>
          <w:szCs w:val="144"/>
        </w:rPr>
      </w:pPr>
      <w:r>
        <w:rPr>
          <w:rFonts w:hint="eastAsia" w:eastAsia="方正小标宋_GBK"/>
          <w:color w:val="FF0000"/>
          <w:spacing w:val="1"/>
          <w:w w:val="35"/>
          <w:kern w:val="0"/>
          <w:sz w:val="144"/>
          <w:szCs w:val="144"/>
          <w:fitText w:val="9450" w:id="1703764454"/>
        </w:rPr>
        <w:t>夫子庙</w:t>
      </w:r>
      <w:r>
        <w:rPr>
          <w:rFonts w:eastAsia="方正小标宋_GBK"/>
          <w:color w:val="FF0000"/>
          <w:spacing w:val="1"/>
          <w:w w:val="35"/>
          <w:kern w:val="0"/>
          <w:sz w:val="144"/>
          <w:szCs w:val="144"/>
          <w:fitText w:val="9450" w:id="1703764454"/>
        </w:rPr>
        <w:t>-</w:t>
      </w:r>
      <w:r>
        <w:rPr>
          <w:rFonts w:hint="eastAsia" w:eastAsia="方正小标宋_GBK"/>
          <w:color w:val="FF0000"/>
          <w:spacing w:val="1"/>
          <w:w w:val="35"/>
          <w:kern w:val="0"/>
          <w:sz w:val="144"/>
          <w:szCs w:val="144"/>
          <w:fitText w:val="9450" w:id="1703764454"/>
        </w:rPr>
        <w:t>秦淮风光带风景名胜区管理委员</w:t>
      </w:r>
      <w:r>
        <w:rPr>
          <w:rFonts w:hint="eastAsia" w:eastAsia="方正小标宋_GBK"/>
          <w:color w:val="FF0000"/>
          <w:spacing w:val="169"/>
          <w:w w:val="35"/>
          <w:kern w:val="0"/>
          <w:sz w:val="144"/>
          <w:szCs w:val="144"/>
          <w:fitText w:val="9450" w:id="1703764454"/>
        </w:rPr>
        <w:t>会</w:t>
      </w:r>
    </w:p>
    <w:p>
      <w:pPr>
        <w:spacing w:line="480" w:lineRule="exact"/>
        <w:ind w:left="-105" w:leftChars="-50" w:right="-874" w:rightChars="-416" w:firstLine="3200" w:firstLineChars="1000"/>
        <w:jc w:val="both"/>
        <w:rPr>
          <w:rFonts w:eastAsia="方正仿宋_GBK"/>
          <w:sz w:val="32"/>
          <w:szCs w:val="32"/>
        </w:rPr>
      </w:pPr>
      <w:r>
        <w:rPr>
          <w:rFonts w:hint="eastAsia" w:ascii="Times New Roman" w:hAnsi="Times New Roman" w:eastAsia="方正仿宋_GBK"/>
          <w:sz w:val="32"/>
          <w:szCs w:val="32"/>
        </w:rPr>
        <w:t>夫管</w:t>
      </w:r>
      <w:r>
        <w:rPr>
          <w:rFonts w:hint="eastAsia" w:eastAsia="方正仿宋_GBK"/>
          <w:sz w:val="32"/>
          <w:szCs w:val="32"/>
          <w:lang w:eastAsia="zh-CN"/>
        </w:rPr>
        <w:t>委规</w:t>
      </w:r>
      <w:r>
        <w:rPr>
          <w:rFonts w:hint="eastAsia" w:ascii="Times New Roman" w:hAnsi="Times New Roman" w:eastAsia="方正仿宋_GBK"/>
          <w:sz w:val="32"/>
          <w:szCs w:val="32"/>
        </w:rPr>
        <w:t>〔</w:t>
      </w:r>
      <w:bookmarkStart w:id="0" w:name="nh"/>
      <w:r>
        <w:rPr>
          <w:rFonts w:ascii="Times New Roman" w:hAnsi="Times New Roman" w:eastAsia="方正仿宋_GBK"/>
          <w:sz w:val="32"/>
          <w:szCs w:val="32"/>
        </w:rPr>
        <w:t>20</w:t>
      </w:r>
      <w:bookmarkEnd w:id="0"/>
      <w:r>
        <w:rPr>
          <w:rFonts w:hint="eastAsia" w:eastAsia="方正仿宋_GBK"/>
          <w:sz w:val="32"/>
          <w:szCs w:val="32"/>
          <w:lang w:val="en-US" w:eastAsia="zh-CN"/>
        </w:rPr>
        <w:t>23</w:t>
      </w:r>
      <w:r>
        <w:rPr>
          <w:rFonts w:hint="eastAsia" w:ascii="Times New Roman" w:hAnsi="Times New Roman" w:eastAsia="方正仿宋_GBK"/>
          <w:sz w:val="32"/>
          <w:szCs w:val="32"/>
        </w:rPr>
        <w:t>〕</w:t>
      </w:r>
      <w:bookmarkStart w:id="1" w:name="qh"/>
      <w:bookmarkEnd w:id="1"/>
      <w:r>
        <w:rPr>
          <w:rFonts w:hint="eastAsia" w:eastAsia="方正仿宋_GBK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/>
          <w:sz w:val="32"/>
          <w:szCs w:val="32"/>
        </w:rPr>
        <w:t>号</w:t>
      </w:r>
    </w:p>
    <w:tbl>
      <w:tblPr>
        <w:tblStyle w:val="4"/>
        <w:tblW w:w="5169" w:type="pct"/>
        <w:tblInd w:w="-72" w:type="dxa"/>
        <w:tblBorders>
          <w:top w:val="single" w:color="FF0000" w:sz="2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8"/>
      </w:tblGrid>
      <w:tr>
        <w:tblPrEx>
          <w:tblBorders>
            <w:top w:val="single" w:color="FF0000" w:sz="2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000" w:type="pct"/>
            <w:tcBorders>
              <w:top w:val="single" w:color="FF0000" w:sz="24" w:space="0"/>
            </w:tcBorders>
          </w:tcPr>
          <w:p>
            <w:pPr>
              <w:ind w:right="210" w:rightChars="100"/>
              <w:jc w:val="center"/>
              <w:rPr>
                <w:rFonts w:eastAsia="方正仿宋_GBK"/>
                <w:sz w:val="32"/>
                <w:szCs w:val="32"/>
              </w:rPr>
            </w:pPr>
            <w:r>
              <w:rPr>
                <w:rFonts w:eastAsia="方正仿宋_GBK"/>
                <w:sz w:val="32"/>
                <w:szCs w:val="32"/>
              </w:rPr>
              <w:t xml:space="preserve">                              </w:t>
            </w:r>
          </w:p>
        </w:tc>
      </w:tr>
    </w:tbl>
    <w:p>
      <w:pPr>
        <w:widowControl/>
        <w:shd w:val="clear" w:color="auto" w:fill="FFFFFF"/>
        <w:spacing w:after="100" w:line="560" w:lineRule="exact"/>
        <w:ind w:firstLine="482"/>
        <w:jc w:val="center"/>
        <w:rPr>
          <w:rFonts w:hint="eastAsia" w:ascii="方正小标宋简体" w:hAnsi="仿宋" w:eastAsia="方正小标宋简体" w:cs="宋体"/>
          <w:kern w:val="0"/>
          <w:sz w:val="44"/>
          <w:szCs w:val="44"/>
        </w:rPr>
      </w:pPr>
    </w:p>
    <w:p>
      <w:pPr>
        <w:widowControl/>
        <w:shd w:val="clear" w:color="auto" w:fill="FFFFFF"/>
        <w:spacing w:after="100" w:line="560" w:lineRule="exact"/>
        <w:ind w:firstLine="482"/>
        <w:jc w:val="center"/>
        <w:rPr>
          <w:rFonts w:hint="eastAsia" w:ascii="方正小标宋简体" w:hAnsi="仿宋" w:eastAsia="方正小标宋简体" w:cs="宋体"/>
          <w:kern w:val="0"/>
          <w:sz w:val="44"/>
          <w:szCs w:val="44"/>
        </w:rPr>
      </w:pPr>
      <w:bookmarkStart w:id="2" w:name="_GoBack"/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关于印发《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  <w:lang w:eastAsia="zh-CN"/>
        </w:rPr>
        <w:t>夫子庙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  <w:lang w:val="en-US" w:eastAsia="zh-CN"/>
        </w:rPr>
        <w:t>-秦淮风光带风景名胜区行政处罚自由裁量基准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》的通知</w:t>
      </w:r>
    </w:p>
    <w:p>
      <w:pPr>
        <w:widowControl/>
        <w:shd w:val="clear" w:color="auto" w:fill="FFFFFF"/>
        <w:spacing w:after="100" w:line="560" w:lineRule="exact"/>
        <w:rPr>
          <w:rFonts w:hint="eastAsia" w:ascii="仿宋_GB2312"/>
          <w:szCs w:val="32"/>
        </w:rPr>
      </w:pPr>
    </w:p>
    <w:p>
      <w:pPr>
        <w:pStyle w:val="6"/>
        <w:widowControl w:val="0"/>
        <w:topLinePunct w:val="0"/>
        <w:spacing w:line="560" w:lineRule="exact"/>
        <w:rPr>
          <w:rFonts w:ascii="Times New Roman" w:hAnsi="Times New Roman"/>
          <w:bCs/>
          <w:kern w:val="2"/>
        </w:rPr>
      </w:pPr>
      <w:r>
        <w:rPr>
          <w:rFonts w:hint="eastAsia" w:ascii="Times New Roman" w:hAnsi="Times New Roman"/>
          <w:bCs/>
          <w:kern w:val="2"/>
          <w:lang w:eastAsia="zh-CN"/>
        </w:rPr>
        <w:t>各相关处室</w:t>
      </w:r>
      <w:r>
        <w:rPr>
          <w:rFonts w:ascii="Times New Roman" w:hAnsi="Times New Roman"/>
          <w:bCs/>
          <w:kern w:val="2"/>
        </w:rPr>
        <w:t>：</w:t>
      </w:r>
    </w:p>
    <w:p>
      <w:pPr>
        <w:pStyle w:val="6"/>
        <w:widowControl w:val="0"/>
        <w:topLinePunct w:val="0"/>
        <w:spacing w:line="560" w:lineRule="exact"/>
        <w:ind w:firstLine="640" w:firstLineChars="200"/>
        <w:jc w:val="left"/>
        <w:rPr>
          <w:rFonts w:ascii="Times New Roman" w:hAnsi="Times New Roman"/>
          <w:bCs/>
          <w:kern w:val="2"/>
        </w:rPr>
      </w:pPr>
      <w:r>
        <w:rPr>
          <w:rFonts w:ascii="Times New Roman" w:hAnsi="Times New Roman"/>
          <w:bCs/>
          <w:kern w:val="2"/>
        </w:rPr>
        <w:t>现将《</w:t>
      </w:r>
      <w:r>
        <w:rPr>
          <w:rFonts w:hint="eastAsia" w:ascii="Times New Roman" w:hAnsi="Times New Roman"/>
          <w:bCs/>
          <w:kern w:val="2"/>
          <w:lang w:eastAsia="zh-CN"/>
        </w:rPr>
        <w:t>夫子庙</w:t>
      </w:r>
      <w:r>
        <w:rPr>
          <w:rFonts w:hint="eastAsia" w:ascii="Times New Roman" w:hAnsi="Times New Roman"/>
          <w:bCs/>
          <w:kern w:val="2"/>
          <w:lang w:val="en-US" w:eastAsia="zh-CN"/>
        </w:rPr>
        <w:t>-秦淮风光带风景名胜区行政处罚自由裁量基准</w:t>
      </w:r>
      <w:r>
        <w:rPr>
          <w:rFonts w:ascii="Times New Roman" w:hAnsi="Times New Roman"/>
          <w:bCs/>
          <w:kern w:val="2"/>
        </w:rPr>
        <w:t>》印发给你们，请认真贯彻执行。</w:t>
      </w:r>
    </w:p>
    <w:p>
      <w:pPr>
        <w:widowControl/>
        <w:shd w:val="clear" w:color="auto" w:fill="FFFFFF"/>
        <w:spacing w:after="100" w:line="560" w:lineRule="exact"/>
        <w:ind w:firstLine="480"/>
        <w:jc w:val="left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ascii="华文仿宋" w:hAnsi="华文仿宋" w:eastAsia="仿宋" w:cs="宋体"/>
          <w:kern w:val="0"/>
          <w:sz w:val="32"/>
          <w:szCs w:val="32"/>
        </w:rPr>
        <w:t>                                                  </w:t>
      </w:r>
    </w:p>
    <w:p>
      <w:pPr>
        <w:widowControl/>
        <w:shd w:val="clear" w:color="auto" w:fill="FFFFFF"/>
        <w:spacing w:after="100" w:line="560" w:lineRule="exact"/>
        <w:ind w:firstLine="480"/>
        <w:jc w:val="left"/>
        <w:rPr>
          <w:rFonts w:hint="eastAsia" w:ascii="仿宋" w:hAnsi="仿宋" w:eastAsia="仿宋" w:cs="宋体"/>
          <w:kern w:val="0"/>
          <w:sz w:val="32"/>
          <w:szCs w:val="32"/>
        </w:rPr>
      </w:pPr>
    </w:p>
    <w:p>
      <w:pPr>
        <w:widowControl/>
        <w:shd w:val="clear" w:color="auto" w:fill="FFFFFF"/>
        <w:spacing w:after="100" w:line="560" w:lineRule="exact"/>
        <w:ind w:firstLine="480"/>
        <w:jc w:val="left"/>
        <w:rPr>
          <w:rFonts w:hint="eastAsia" w:ascii="仿宋" w:hAnsi="仿宋" w:eastAsia="仿宋" w:cs="宋体"/>
          <w:kern w:val="0"/>
          <w:sz w:val="32"/>
          <w:szCs w:val="32"/>
        </w:rPr>
      </w:pPr>
    </w:p>
    <w:p>
      <w:pPr>
        <w:widowControl/>
        <w:shd w:val="clear" w:color="auto" w:fill="FFFFFF"/>
        <w:spacing w:after="100" w:line="560" w:lineRule="exact"/>
        <w:ind w:firstLine="2560" w:firstLineChars="800"/>
        <w:jc w:val="left"/>
        <w:rPr>
          <w:rFonts w:hint="default" w:ascii="仿宋" w:hAnsi="仿宋" w:eastAsia="仿宋" w:cs="宋体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宋体"/>
          <w:kern w:val="0"/>
          <w:sz w:val="32"/>
          <w:szCs w:val="32"/>
          <w:lang w:eastAsia="zh-CN"/>
        </w:rPr>
        <w:t>夫子庙</w:t>
      </w:r>
      <w:r>
        <w:rPr>
          <w:rFonts w:hint="eastAsia" w:ascii="仿宋" w:hAnsi="仿宋" w:eastAsia="仿宋" w:cs="宋体"/>
          <w:kern w:val="0"/>
          <w:sz w:val="32"/>
          <w:szCs w:val="32"/>
          <w:lang w:val="en-US" w:eastAsia="zh-CN"/>
        </w:rPr>
        <w:t>-秦淮风光带风景名胜区管理委员会</w:t>
      </w:r>
    </w:p>
    <w:p>
      <w:pPr>
        <w:widowControl/>
        <w:shd w:val="clear" w:color="auto" w:fill="FFFFFF"/>
        <w:spacing w:after="100" w:line="560" w:lineRule="exact"/>
        <w:ind w:firstLine="2400" w:firstLineChars="750"/>
        <w:jc w:val="center"/>
        <w:rPr>
          <w:rFonts w:eastAsia="仿宋"/>
          <w:kern w:val="0"/>
          <w:sz w:val="32"/>
          <w:szCs w:val="32"/>
        </w:rPr>
      </w:pPr>
      <w:r>
        <w:rPr>
          <w:rFonts w:hint="eastAsia" w:eastAsia="仿宋" w:cs="Times New Roman"/>
          <w:kern w:val="0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</w:rPr>
        <w:t>202</w:t>
      </w:r>
      <w:r>
        <w:rPr>
          <w:rFonts w:hint="eastAsia" w:eastAsia="仿宋" w:cs="Times New Roman"/>
          <w:kern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</w:rPr>
        <w:t>年</w:t>
      </w:r>
      <w:r>
        <w:rPr>
          <w:rFonts w:hint="eastAsia" w:eastAsia="仿宋" w:cs="Times New Roman"/>
          <w:kern w:val="0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</w:rPr>
        <w:t>月</w:t>
      </w:r>
      <w:r>
        <w:rPr>
          <w:rFonts w:hint="eastAsia" w:eastAsia="仿宋" w:cs="Times New Roman"/>
          <w:kern w:val="0"/>
          <w:sz w:val="32"/>
          <w:szCs w:val="32"/>
          <w:lang w:val="en-US" w:eastAsia="zh-CN"/>
        </w:rPr>
        <w:t>1</w:t>
      </w:r>
      <w:r>
        <w:rPr>
          <w:rFonts w:hAnsi="仿宋" w:eastAsia="仿宋"/>
          <w:kern w:val="0"/>
          <w:sz w:val="32"/>
          <w:szCs w:val="32"/>
        </w:rPr>
        <w:t>日</w:t>
      </w:r>
    </w:p>
    <w:p>
      <w:pPr>
        <w:rPr>
          <w:rFonts w:hint="eastAsia" w:eastAsia="方正小标宋_GBK"/>
          <w:sz w:val="44"/>
          <w:szCs w:val="44"/>
          <w:lang w:eastAsia="zh-CN"/>
        </w:rPr>
        <w:sectPr>
          <w:footerReference r:id="rId3" w:type="default"/>
          <w:pgSz w:w="11906" w:h="16838"/>
          <w:pgMar w:top="2041" w:right="1588" w:bottom="2041" w:left="1588" w:header="851" w:footer="992" w:gutter="0"/>
          <w:pgNumType w:fmt="decimal" w:start="1"/>
          <w:cols w:space="720" w:num="1"/>
          <w:docGrid w:type="lines" w:linePitch="318" w:charSpace="0"/>
        </w:sectPr>
      </w:pPr>
    </w:p>
    <w:bookmarkEnd w:id="2"/>
    <w:p>
      <w:pPr>
        <w:adjustRightInd w:val="0"/>
        <w:snapToGrid w:val="0"/>
        <w:spacing w:line="560" w:lineRule="exact"/>
        <w:jc w:val="center"/>
        <w:rPr>
          <w:rFonts w:hint="eastAsia" w:eastAsia="方正小标宋_GBK"/>
          <w:sz w:val="44"/>
          <w:szCs w:val="44"/>
          <w:lang w:eastAsia="zh-CN"/>
        </w:rPr>
      </w:pPr>
      <w:r>
        <w:rPr>
          <w:rFonts w:hint="eastAsia" w:eastAsia="方正小标宋_GBK"/>
          <w:sz w:val="44"/>
          <w:szCs w:val="44"/>
          <w:lang w:eastAsia="zh-CN"/>
        </w:rPr>
        <w:t>夫子庙</w:t>
      </w:r>
      <w:r>
        <w:rPr>
          <w:rFonts w:hint="eastAsia" w:eastAsia="方正小标宋_GBK"/>
          <w:sz w:val="44"/>
          <w:szCs w:val="44"/>
          <w:lang w:val="en-US" w:eastAsia="zh-CN"/>
        </w:rPr>
        <w:t>-</w:t>
      </w:r>
      <w:r>
        <w:rPr>
          <w:rFonts w:hint="eastAsia" w:eastAsia="方正小标宋_GBK"/>
          <w:sz w:val="44"/>
          <w:szCs w:val="44"/>
          <w:lang w:eastAsia="zh-CN"/>
        </w:rPr>
        <w:t>秦淮风光带风景名胜区</w:t>
      </w:r>
    </w:p>
    <w:p>
      <w:pPr>
        <w:adjustRightInd w:val="0"/>
        <w:snapToGrid w:val="0"/>
        <w:spacing w:line="56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一般违法行为</w:t>
      </w:r>
      <w:r>
        <w:rPr>
          <w:rFonts w:hint="eastAsia" w:eastAsia="方正小标宋_GBK"/>
          <w:sz w:val="44"/>
          <w:szCs w:val="44"/>
          <w:lang w:eastAsia="zh-CN"/>
        </w:rPr>
        <w:t>从轻</w:t>
      </w:r>
      <w:r>
        <w:rPr>
          <w:rFonts w:eastAsia="方正小标宋_GBK"/>
          <w:sz w:val="44"/>
          <w:szCs w:val="44"/>
        </w:rPr>
        <w:t>行政处罚清单</w:t>
      </w:r>
    </w:p>
    <w:tbl>
      <w:tblPr>
        <w:tblStyle w:val="4"/>
        <w:tblW w:w="1381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2140"/>
        <w:gridCol w:w="1815"/>
        <w:gridCol w:w="1305"/>
        <w:gridCol w:w="4620"/>
        <w:gridCol w:w="1560"/>
        <w:gridCol w:w="152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序号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行政处罚事项名称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从轻行政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处罚条件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自由裁量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处罚幅度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ascii="Times New Roman" w:hAnsi="Times New Roman" w:eastAsia="方正黑体_GBK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eastAsia="方正黑体_GBK"/>
                <w:szCs w:val="21"/>
              </w:rPr>
              <w:t>法律依据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实施主体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责任机关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0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</w:t>
            </w:r>
            <w:r>
              <w:rPr>
                <w:rFonts w:ascii="宋体" w:hAnsi="宋体" w:eastAsia="宋体"/>
                <w:sz w:val="24"/>
                <w:szCs w:val="24"/>
              </w:rPr>
              <w:t>保护责任人未按照风景名胜区相关规划或者维护、修缮要求对历史建筑、规划控制建筑及其他风貌建筑进行维护、修缮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，逾期不改正的处罚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未影响房屋风貌、功能、安全，毁损面积较小，后依照要求</w:t>
            </w:r>
            <w:r>
              <w:rPr>
                <w:rFonts w:ascii="宋体" w:hAnsi="宋体" w:eastAsia="宋体"/>
                <w:sz w:val="24"/>
                <w:szCs w:val="24"/>
              </w:rPr>
              <w:t>维护、修缮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处以五千元以上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二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万元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以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下罚款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第五十七条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，违反本条例第二十二条第二款规定，</w:t>
            </w:r>
            <w:r>
              <w:rPr>
                <w:rFonts w:ascii="宋体" w:hAnsi="宋体" w:eastAsia="宋体"/>
                <w:sz w:val="24"/>
                <w:szCs w:val="24"/>
              </w:rPr>
              <w:t>保护责任人未按照风景名胜区相关规划或者维护、修缮要求对历史建筑、规划控制建筑及其他风貌建筑进行维护、修缮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的，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由风景名胜区管理机构责令限期改正；逾期不改正的，处以五千元以上五万元以下罚款。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default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对个人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在禁止垂钓的水域范围内垂钓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，拒不改正的处罚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未使用多竿多钩串钩等器具垂钓，危害后果轻微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处以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五十元以上一百元以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下罚款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第五十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八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条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，个人有下列行为之一的，由风景名胜区管理机构责令改正；拒不改正的，处以五十元以上二百元以下罚款：（一）在禁止垂钓的水域范围内垂钓的；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对个人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未经风景名胜区管理机构同意，驾驶车辆进入步行区域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，拒不改正的处罚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无抛洒物，未损坏路面，未影响游客通行，危害后果轻微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处以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五十元以上一百元以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下罚款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第五十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八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条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，个人有下列行为之一的，由风景名胜区管理机构责令改正；拒不改正的，处以五十元以上二百元以下罚款：（二）未经风景名胜区管理机构同意，驾驶车辆进入步行区域的；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0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未经风景名胜区管理机构审核在风景名胜区内</w:t>
            </w:r>
            <w:r>
              <w:rPr>
                <w:rFonts w:ascii="宋体" w:hAnsi="宋体" w:eastAsia="宋体"/>
                <w:sz w:val="24"/>
                <w:szCs w:val="24"/>
              </w:rPr>
              <w:t>擅自挖掘、占用道路、河道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，逾期不改正的处罚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正在办理申请手续，停止施工，未造成严重后果、未破坏景区容貌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处以五千元以上一万元以下罚款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第五十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九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条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第二款，违反本条例第四十二条第一款第二项、第三项规定，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未经风景名胜区管理机构审核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擅</w:t>
            </w:r>
            <w:r>
              <w:rPr>
                <w:rFonts w:ascii="宋体" w:hAnsi="宋体" w:eastAsia="宋体"/>
                <w:sz w:val="24"/>
                <w:szCs w:val="24"/>
              </w:rPr>
              <w:t>自挖掘、占用道路、河道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或者举办商业展销活动的，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由风景名胜区管理机构责令停止，限期改正；逾期不改正的，处以五千元以上三万元以下罚款。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0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eastAsia="方正仿宋_GBK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未经风景名胜区管理机构审核在风景名胜区内</w:t>
            </w:r>
            <w:r>
              <w:rPr>
                <w:rFonts w:ascii="宋体" w:hAnsi="宋体" w:eastAsia="宋体"/>
                <w:sz w:val="24"/>
                <w:szCs w:val="24"/>
              </w:rPr>
              <w:t>擅自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举办商业展销活动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，逾期不改正的处罚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正在办理申请手续，人数在50人以下，不在景区重要区域，未产生不良社会影响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处以五千元以上一万元以下罚款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第五十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九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条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第二款，违反本条例第四十二条第一款第二项、第三项规定，</w:t>
            </w:r>
            <w:r>
              <w:rPr>
                <w:rFonts w:hint="eastAsia" w:ascii="宋体" w:hAnsi="宋体" w:eastAsia="宋体"/>
                <w:sz w:val="24"/>
                <w:szCs w:val="24"/>
              </w:rPr>
              <w:t>未经风景名胜区管理机构审核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擅</w:t>
            </w:r>
            <w:r>
              <w:rPr>
                <w:rFonts w:ascii="宋体" w:hAnsi="宋体" w:eastAsia="宋体"/>
                <w:sz w:val="24"/>
                <w:szCs w:val="24"/>
              </w:rPr>
              <w:t>自挖掘、占用道路、河道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或者举办商业展销活动的，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由风景名胜区管理机构责令停止，限期改正；逾期不改正的，处以五千元以上三万元以下罚款。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0" w:hRule="atLeast"/>
          <w:jc w:val="center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</w:t>
            </w:r>
            <w:r>
              <w:rPr>
                <w:rFonts w:ascii="宋体" w:hAnsi="宋体" w:eastAsia="宋体"/>
                <w:sz w:val="24"/>
                <w:szCs w:val="24"/>
              </w:rPr>
              <w:t>风景名胜区内的夜景灯光照明、店招标牌设置和店面装饰，不符合风景名胜区容貌标准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，逾期不改正的处罚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无安全隐患，不在景区重要区域，按照要求整改，符合景区容貌标准</w:t>
            </w:r>
          </w:p>
        </w:tc>
        <w:tc>
          <w:tcPr>
            <w:tcW w:w="130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处以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一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千元以上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三千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元以下罚款</w:t>
            </w:r>
          </w:p>
        </w:tc>
        <w:tc>
          <w:tcPr>
            <w:tcW w:w="46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Times New Roman" w:hAnsi="Times New Roman" w:eastAsia="方正仿宋_GBK" w:cs="Times New Roman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六十条，违反本条例第四十八条第一款规定，风景名胜区内的夜景灯光</w:t>
            </w:r>
            <w:r>
              <w:rPr>
                <w:rFonts w:ascii="宋体" w:hAnsi="宋体" w:eastAsia="宋体"/>
                <w:sz w:val="24"/>
                <w:szCs w:val="24"/>
              </w:rPr>
              <w:t>照明、店招标牌设置和店面装饰，不符合风景名胜区容貌标准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的，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由风景名胜区管理机构责令限期改正；逾期不改正的，处以一千元以上一万元以下罚款。</w:t>
            </w:r>
          </w:p>
        </w:tc>
        <w:tc>
          <w:tcPr>
            <w:tcW w:w="15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52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both"/>
              <w:textAlignment w:val="auto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</w:tbl>
    <w:p>
      <w:pPr>
        <w:adjustRightInd w:val="0"/>
        <w:snapToGrid w:val="0"/>
        <w:spacing w:line="560" w:lineRule="exact"/>
        <w:jc w:val="both"/>
        <w:rPr>
          <w:rFonts w:eastAsia="方正黑体_GBK"/>
          <w:sz w:val="32"/>
          <w:szCs w:val="32"/>
        </w:rPr>
      </w:pPr>
    </w:p>
    <w:p>
      <w:pPr>
        <w:adjustRightInd w:val="0"/>
        <w:snapToGrid w:val="0"/>
        <w:spacing w:line="560" w:lineRule="exact"/>
        <w:jc w:val="center"/>
        <w:rPr>
          <w:rFonts w:hint="eastAsia" w:eastAsia="方正小标宋_GBK"/>
          <w:sz w:val="44"/>
          <w:szCs w:val="44"/>
          <w:lang w:eastAsia="zh-CN"/>
        </w:rPr>
      </w:pPr>
      <w:r>
        <w:rPr>
          <w:rFonts w:hint="eastAsia" w:eastAsia="方正小标宋_GBK"/>
          <w:sz w:val="44"/>
          <w:szCs w:val="44"/>
          <w:lang w:eastAsia="zh-CN"/>
        </w:rPr>
        <w:t>夫子庙</w:t>
      </w:r>
      <w:r>
        <w:rPr>
          <w:rFonts w:hint="eastAsia" w:eastAsia="方正小标宋_GBK"/>
          <w:sz w:val="44"/>
          <w:szCs w:val="44"/>
          <w:lang w:val="en-US" w:eastAsia="zh-CN"/>
        </w:rPr>
        <w:t>-</w:t>
      </w:r>
      <w:r>
        <w:rPr>
          <w:rFonts w:hint="eastAsia" w:eastAsia="方正小标宋_GBK"/>
          <w:sz w:val="44"/>
          <w:szCs w:val="44"/>
          <w:lang w:eastAsia="zh-CN"/>
        </w:rPr>
        <w:t>秦淮风光带风景名胜区</w:t>
      </w:r>
    </w:p>
    <w:p>
      <w:pPr>
        <w:adjustRightInd w:val="0"/>
        <w:snapToGrid w:val="0"/>
        <w:spacing w:line="56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轻微违法行为不予行政处罚清单</w:t>
      </w:r>
    </w:p>
    <w:p>
      <w:pPr>
        <w:adjustRightInd w:val="0"/>
        <w:snapToGrid w:val="0"/>
        <w:spacing w:line="560" w:lineRule="exact"/>
        <w:jc w:val="center"/>
        <w:rPr>
          <w:rFonts w:eastAsia="方正小标宋_GBK"/>
          <w:sz w:val="44"/>
          <w:szCs w:val="44"/>
        </w:rPr>
      </w:pPr>
    </w:p>
    <w:tbl>
      <w:tblPr>
        <w:tblStyle w:val="4"/>
        <w:tblW w:w="1286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980"/>
        <w:gridCol w:w="1950"/>
        <w:gridCol w:w="4995"/>
        <w:gridCol w:w="1443"/>
        <w:gridCol w:w="16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85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序号</w:t>
            </w:r>
          </w:p>
        </w:tc>
        <w:tc>
          <w:tcPr>
            <w:tcW w:w="19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行政处罚事项名称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不予处罚条件</w:t>
            </w:r>
          </w:p>
        </w:tc>
        <w:tc>
          <w:tcPr>
            <w:tcW w:w="4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法律依据</w:t>
            </w:r>
          </w:p>
        </w:tc>
        <w:tc>
          <w:tcPr>
            <w:tcW w:w="14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实施主体</w:t>
            </w:r>
          </w:p>
        </w:tc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eastAsia="方正黑体_GBK"/>
                <w:szCs w:val="21"/>
              </w:rPr>
            </w:pPr>
            <w:r>
              <w:rPr>
                <w:rFonts w:eastAsia="方正黑体_GBK"/>
                <w:szCs w:val="21"/>
              </w:rPr>
              <w:t>责任机关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</w:trPr>
        <w:tc>
          <w:tcPr>
            <w:tcW w:w="851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textAlignment w:val="auto"/>
              <w:rPr>
                <w:rFonts w:hint="eastAsia" w:eastAsia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eastAsia="方正仿宋_GBK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对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在风景名胜区禁烟区域吸烟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的处罚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eastAsia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初次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违法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，违法行为轻微并及时改正，没有造成危害后果</w:t>
            </w:r>
          </w:p>
        </w:tc>
        <w:tc>
          <w:tcPr>
            <w:tcW w:w="49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eastAsia="方正仿宋_GBK"/>
                <w:sz w:val="32"/>
                <w:szCs w:val="32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南京市夫子庙秦淮风光带风景名胜区条例</w:t>
            </w: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第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六十二条，在风景名胜区禁烟区域吸烟的，由风景名胜区管理机构责令改正，并处以二十元以上五十元以下罚款。</w:t>
            </w:r>
          </w:p>
        </w:tc>
        <w:tc>
          <w:tcPr>
            <w:tcW w:w="144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  <w:tc>
          <w:tcPr>
            <w:tcW w:w="16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ascii="Times New Roman" w:hAnsi="Times New Roman" w:eastAsia="方正仿宋_GBK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eastAsia="zh-CN"/>
              </w:rPr>
              <w:t>夫子庙</w:t>
            </w: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-秦淮风光带风景名胜区管理委员会</w:t>
            </w:r>
          </w:p>
        </w:tc>
      </w:tr>
    </w:tbl>
    <w:p>
      <w:pPr>
        <w:spacing w:line="360" w:lineRule="exact"/>
        <w:rPr>
          <w:rFonts w:eastAsia="方正仿宋_GBK"/>
          <w:sz w:val="24"/>
          <w:szCs w:val="24"/>
        </w:rPr>
      </w:pPr>
    </w:p>
    <w:p>
      <w:pPr>
        <w:spacing w:line="360" w:lineRule="exact"/>
        <w:rPr>
          <w:rFonts w:eastAsia="方正仿宋_GBK"/>
          <w:sz w:val="24"/>
          <w:szCs w:val="24"/>
        </w:rPr>
      </w:pPr>
    </w:p>
    <w:p>
      <w:pPr>
        <w:spacing w:line="360" w:lineRule="exact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注：</w:t>
      </w:r>
    </w:p>
    <w:p>
      <w:pPr>
        <w:spacing w:line="360" w:lineRule="exact"/>
        <w:ind w:firstLine="480" w:firstLineChars="200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1. 《基准》中所称“以上”包括本数、“以下”不包括本数。</w:t>
      </w:r>
    </w:p>
    <w:p>
      <w:pPr>
        <w:spacing w:line="360" w:lineRule="exact"/>
        <w:ind w:firstLine="480" w:firstLineChars="200"/>
        <w:rPr>
          <w:rFonts w:eastAsia="方正仿宋_GBK"/>
          <w:sz w:val="24"/>
          <w:szCs w:val="24"/>
        </w:rPr>
      </w:pPr>
      <w:r>
        <w:rPr>
          <w:rFonts w:eastAsia="方正仿宋_GBK"/>
          <w:sz w:val="24"/>
          <w:szCs w:val="24"/>
        </w:rPr>
        <w:t>2. 《基准》所列的违法行为有《中华人民共和国行政处罚法》和国家、省、市关于行政处罚裁量基准制度的管理规定应当“减轻、从轻”处罚情形的，处罚裁量时应当予以减轻、从轻。</w:t>
      </w:r>
    </w:p>
    <w:p>
      <w:pPr>
        <w:spacing w:line="360" w:lineRule="exact"/>
        <w:ind w:firstLine="480" w:firstLineChars="200"/>
        <w:rPr>
          <w:rFonts w:hint="eastAsia" w:eastAsia="方正仿宋_GBK"/>
          <w:sz w:val="24"/>
          <w:szCs w:val="24"/>
          <w:lang w:eastAsia="zh-CN"/>
        </w:rPr>
      </w:pPr>
      <w:r>
        <w:rPr>
          <w:rFonts w:hint="eastAsia" w:eastAsia="方正仿宋_GBK"/>
          <w:sz w:val="24"/>
          <w:szCs w:val="24"/>
          <w:lang w:val="en-US" w:eastAsia="zh-CN"/>
        </w:rPr>
        <w:t>3</w:t>
      </w:r>
      <w:r>
        <w:rPr>
          <w:rFonts w:eastAsia="方正仿宋_GBK"/>
          <w:sz w:val="24"/>
          <w:szCs w:val="24"/>
        </w:rPr>
        <w:t>. 《基准》由</w:t>
      </w:r>
      <w:r>
        <w:rPr>
          <w:rFonts w:hint="eastAsia" w:eastAsia="方正仿宋_GBK"/>
          <w:sz w:val="24"/>
          <w:szCs w:val="24"/>
          <w:lang w:eastAsia="zh-CN"/>
        </w:rPr>
        <w:t>夫子庙</w:t>
      </w:r>
      <w:r>
        <w:rPr>
          <w:rFonts w:hint="eastAsia" w:eastAsia="方正仿宋_GBK"/>
          <w:sz w:val="24"/>
          <w:szCs w:val="24"/>
          <w:lang w:val="en-US" w:eastAsia="zh-CN"/>
        </w:rPr>
        <w:t>-秦淮风光带风景名胜区管理委员会</w:t>
      </w:r>
      <w:r>
        <w:rPr>
          <w:rFonts w:eastAsia="方正仿宋_GBK"/>
          <w:sz w:val="24"/>
          <w:szCs w:val="24"/>
        </w:rPr>
        <w:t>负责解释</w:t>
      </w:r>
      <w:r>
        <w:rPr>
          <w:rFonts w:hint="eastAsia" w:eastAsia="方正仿宋_GBK"/>
          <w:sz w:val="24"/>
          <w:szCs w:val="24"/>
          <w:lang w:eastAsia="zh-CN"/>
        </w:rPr>
        <w:t>。</w:t>
      </w:r>
    </w:p>
    <w:p>
      <w:pPr>
        <w:spacing w:line="360" w:lineRule="exact"/>
        <w:ind w:firstLine="480" w:firstLineChars="200"/>
        <w:rPr>
          <w:rFonts w:hint="eastAsia" w:ascii="Times New Roman" w:hAnsi="Times New Roman" w:eastAsia="方正仿宋_GBK"/>
          <w:bCs/>
          <w:kern w:val="2"/>
          <w:lang w:val="en-US" w:eastAsia="zh-CN"/>
        </w:rPr>
        <w:sectPr>
          <w:pgSz w:w="16840" w:h="11907" w:orient="landscape"/>
          <w:pgMar w:top="1588" w:right="2098" w:bottom="1474" w:left="1985" w:header="851" w:footer="1247" w:gutter="0"/>
          <w:cols w:space="720" w:num="1"/>
          <w:docGrid w:type="linesAndChars" w:linePitch="579" w:charSpace="0"/>
        </w:sectPr>
      </w:pPr>
      <w:r>
        <w:rPr>
          <w:rFonts w:hint="eastAsia" w:eastAsia="方正仿宋_GBK"/>
          <w:sz w:val="24"/>
          <w:szCs w:val="24"/>
          <w:lang w:val="en-US" w:eastAsia="zh-CN"/>
        </w:rPr>
        <w:t>4</w:t>
      </w:r>
      <w:r>
        <w:rPr>
          <w:rFonts w:eastAsia="方正仿宋_GBK"/>
          <w:sz w:val="24"/>
          <w:szCs w:val="24"/>
        </w:rPr>
        <w:t>. 《基准》自发布之日起30日后施行，有效</w:t>
      </w:r>
      <w:r>
        <w:rPr>
          <w:rFonts w:hint="eastAsia" w:eastAsia="方正仿宋_GBK"/>
          <w:sz w:val="24"/>
          <w:szCs w:val="24"/>
          <w:lang w:eastAsia="zh-CN"/>
        </w:rPr>
        <w:t>期五年。</w:t>
      </w:r>
    </w:p>
    <w:p>
      <w:pPr>
        <w:tabs>
          <w:tab w:val="right" w:pos="8260"/>
        </w:tabs>
        <w:autoSpaceDE w:val="0"/>
        <w:autoSpaceDN w:val="0"/>
        <w:adjustRightInd w:val="0"/>
        <w:snapToGrid w:val="0"/>
        <w:spacing w:before="57" w:beforeLines="10" w:after="57" w:afterLines="10"/>
        <w:ind w:left="-42" w:leftChars="-20" w:right="-42" w:rightChars="-20"/>
        <w:rPr>
          <w:rFonts w:hint="eastAsia" w:eastAsia="方正仿宋_GBK"/>
          <w:snapToGrid w:val="0"/>
          <w:kern w:val="0"/>
          <w:sz w:val="28"/>
          <w:szCs w:val="28"/>
          <w:lang w:val="en-US" w:eastAsia="zh-CN"/>
        </w:rPr>
      </w:pPr>
      <w:r>
        <w:rPr>
          <w:rFonts w:hint="eastAsia" w:eastAsia="方正仿宋_GBK"/>
          <w:snapToGrid w:val="0"/>
          <w:kern w:val="0"/>
          <w:sz w:val="28"/>
          <w:szCs w:val="28"/>
          <w:lang w:val="en-US" w:eastAsia="zh-CN"/>
        </w:rPr>
        <w:t>（此页无正文）</w:t>
      </w:r>
    </w:p>
    <w:tbl>
      <w:tblPr>
        <w:tblStyle w:val="4"/>
        <w:tblpPr w:leftFromText="454" w:rightFromText="454" w:horzAnchor="margin" w:tblpXSpec="center" w:tblpYSpec="bottom"/>
        <w:tblOverlap w:val="never"/>
        <w:tblW w:w="0" w:type="auto"/>
        <w:tblInd w:w="0" w:type="dxa"/>
        <w:tblBorders>
          <w:top w:val="single" w:color="auto" w:sz="8" w:space="0"/>
          <w:left w:val="none" w:color="auto" w:sz="0" w:space="0"/>
          <w:bottom w:val="single" w:color="auto" w:sz="8" w:space="0"/>
          <w:right w:val="none" w:color="auto" w:sz="0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"/>
        <w:gridCol w:w="8365"/>
      </w:tblGrid>
      <w:tr>
        <w:tblPrEx>
          <w:tblBorders>
            <w:top w:val="single" w:color="auto" w:sz="8" w:space="0"/>
            <w:left w:val="none" w:color="auto" w:sz="0" w:space="0"/>
            <w:bottom w:val="single" w:color="auto" w:sz="8" w:space="0"/>
            <w:right w:val="none" w:color="auto" w:sz="0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" w:type="dxa"/>
            <w:noWrap w:val="0"/>
            <w:vAlign w:val="top"/>
          </w:tcPr>
          <w:p>
            <w:pPr>
              <w:autoSpaceDE w:val="0"/>
              <w:autoSpaceDN w:val="0"/>
              <w:adjustRightInd w:val="0"/>
              <w:snapToGrid w:val="0"/>
              <w:spacing w:before="57" w:beforeLines="10" w:after="57" w:afterLines="10" w:line="288" w:lineRule="auto"/>
              <w:rPr>
                <w:rFonts w:eastAsia="方正仿宋_GBK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8365" w:type="dxa"/>
            <w:noWrap w:val="0"/>
            <w:vAlign w:val="top"/>
          </w:tcPr>
          <w:p>
            <w:pPr>
              <w:tabs>
                <w:tab w:val="right" w:pos="8260"/>
              </w:tabs>
              <w:autoSpaceDE w:val="0"/>
              <w:autoSpaceDN w:val="0"/>
              <w:adjustRightInd w:val="0"/>
              <w:snapToGrid w:val="0"/>
              <w:spacing w:before="57" w:beforeLines="10" w:after="57" w:afterLines="10"/>
              <w:ind w:left="-42" w:leftChars="-20" w:right="-42" w:rightChars="-20"/>
              <w:rPr>
                <w:rFonts w:eastAsia="方正仿宋_GBK"/>
                <w:snapToGrid w:val="0"/>
                <w:kern w:val="0"/>
                <w:sz w:val="28"/>
                <w:szCs w:val="28"/>
              </w:rPr>
            </w:pPr>
            <w:r>
              <w:rPr>
                <w:rFonts w:hint="eastAsia" w:eastAsia="方正仿宋_GBK"/>
                <w:snapToGrid w:val="0"/>
                <w:kern w:val="0"/>
                <w:sz w:val="28"/>
                <w:szCs w:val="28"/>
                <w:lang w:eastAsia="zh-CN"/>
              </w:rPr>
              <w:t>夫子庙</w:t>
            </w:r>
            <w:r>
              <w:rPr>
                <w:rFonts w:hint="eastAsia" w:eastAsia="方正仿宋_GBK"/>
                <w:snapToGrid w:val="0"/>
                <w:kern w:val="0"/>
                <w:sz w:val="28"/>
                <w:szCs w:val="28"/>
                <w:lang w:val="en-US" w:eastAsia="zh-CN"/>
              </w:rPr>
              <w:t>-秦淮风光带风景名胜区管理委员会</w:t>
            </w:r>
            <w:r>
              <w:rPr>
                <w:rFonts w:eastAsia="方正仿宋_GBK"/>
                <w:snapToGrid w:val="0"/>
                <w:kern w:val="0"/>
                <w:sz w:val="28"/>
                <w:szCs w:val="28"/>
              </w:rPr>
              <w:tab/>
            </w:r>
            <w:r>
              <w:rPr>
                <w:rFonts w:eastAsia="方正仿宋_GBK"/>
                <w:snapToGrid w:val="0"/>
                <w:kern w:val="0"/>
                <w:sz w:val="28"/>
                <w:szCs w:val="28"/>
              </w:rPr>
              <w:t>2023年</w:t>
            </w:r>
            <w:r>
              <w:rPr>
                <w:rFonts w:hint="eastAsia" w:eastAsia="方正仿宋_GBK"/>
                <w:snapToGrid w:val="0"/>
                <w:kern w:val="0"/>
                <w:sz w:val="28"/>
                <w:szCs w:val="28"/>
                <w:lang w:val="en-US" w:eastAsia="zh-CN"/>
              </w:rPr>
              <w:t>12</w:t>
            </w:r>
            <w:r>
              <w:rPr>
                <w:rFonts w:eastAsia="方正仿宋_GBK"/>
                <w:snapToGrid w:val="0"/>
                <w:kern w:val="0"/>
                <w:sz w:val="28"/>
                <w:szCs w:val="28"/>
              </w:rPr>
              <w:t>月</w:t>
            </w:r>
            <w:r>
              <w:rPr>
                <w:rFonts w:hint="eastAsia" w:eastAsia="方正仿宋_GBK"/>
                <w:snapToGrid w:val="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eastAsia="方正仿宋_GBK"/>
                <w:snapToGrid w:val="0"/>
                <w:kern w:val="0"/>
                <w:sz w:val="28"/>
                <w:szCs w:val="28"/>
              </w:rPr>
              <w:t>日印发</w:t>
            </w:r>
          </w:p>
        </w:tc>
      </w:tr>
    </w:tbl>
    <w:p>
      <w:pPr>
        <w:bidi w:val="0"/>
        <w:jc w:val="left"/>
        <w:rPr>
          <w:rFonts w:hint="eastAsia"/>
          <w:lang w:val="en-US" w:eastAsia="zh-CN"/>
        </w:rPr>
      </w:pPr>
    </w:p>
    <w:sectPr>
      <w:footerReference r:id="rId4" w:type="default"/>
      <w:pgSz w:w="11906" w:h="16838"/>
      <w:pgMar w:top="2041" w:right="1588" w:bottom="2041" w:left="1588" w:header="851" w:footer="992" w:gutter="0"/>
      <w:pgNumType w:fmt="decimal" w:start="1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2NWI1N2MxODlkY2Q5OGQ4NGRiODViMTI1Y2E5NGUifQ=="/>
  </w:docVars>
  <w:rsids>
    <w:rsidRoot w:val="00000000"/>
    <w:rsid w:val="0032694A"/>
    <w:rsid w:val="06D21E33"/>
    <w:rsid w:val="095043C0"/>
    <w:rsid w:val="09EE2867"/>
    <w:rsid w:val="0CE5529F"/>
    <w:rsid w:val="0EA06672"/>
    <w:rsid w:val="121C516F"/>
    <w:rsid w:val="146A7749"/>
    <w:rsid w:val="28524F78"/>
    <w:rsid w:val="2E623095"/>
    <w:rsid w:val="34533FB3"/>
    <w:rsid w:val="385C441F"/>
    <w:rsid w:val="3CB6551B"/>
    <w:rsid w:val="4F0273B8"/>
    <w:rsid w:val="51383981"/>
    <w:rsid w:val="57081AB9"/>
    <w:rsid w:val="6D33645C"/>
    <w:rsid w:val="738221BF"/>
    <w:rsid w:val="7EAB3B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p0"/>
    <w:basedOn w:val="1"/>
    <w:qFormat/>
    <w:uiPriority w:val="0"/>
    <w:pPr>
      <w:widowControl/>
      <w:topLinePunct/>
      <w:spacing w:line="290" w:lineRule="auto"/>
    </w:pPr>
    <w:rPr>
      <w:rFonts w:ascii="方正仿宋_GBK" w:hAnsi="宋体" w:eastAsia="方正仿宋_GBK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227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2023-09-01T01:45:00Z</dcterms:created>
  <dc:creator>Administrator</dc:creator>
  <cp:lastModifiedBy>WPS_1665729171</cp:lastModifiedBy>
  <cp:lastPrinted>2023-12-01T05:01:46Z</cp:lastPrinted>
  <dcterms:modified xsi:type="dcterms:W3CDTF">2023-12-01T08:24:11Z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489A50870AE448019EB98F791B99051E_13</vt:lpwstr>
  </property>
</Properties>
</file>